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32" w:rsidRDefault="00C91432" w:rsidP="00C91432">
      <w:pPr>
        <w:spacing w:after="40"/>
        <w:ind w:left="4332" w:firstLine="708"/>
        <w:jc w:val="both"/>
        <w:rPr>
          <w:sz w:val="28"/>
        </w:rPr>
      </w:pPr>
      <w:r>
        <w:rPr>
          <w:sz w:val="28"/>
        </w:rPr>
        <w:t>Приложение</w:t>
      </w:r>
    </w:p>
    <w:p w:rsidR="00C91432" w:rsidRDefault="00C91432" w:rsidP="00C91432">
      <w:pPr>
        <w:spacing w:after="40"/>
        <w:ind w:left="5040"/>
        <w:jc w:val="both"/>
        <w:rPr>
          <w:sz w:val="28"/>
        </w:rPr>
      </w:pPr>
      <w:r>
        <w:rPr>
          <w:sz w:val="28"/>
        </w:rPr>
        <w:t>к письму Департамента общ</w:t>
      </w:r>
      <w:r>
        <w:rPr>
          <w:sz w:val="28"/>
        </w:rPr>
        <w:t>е</w:t>
      </w:r>
      <w:r>
        <w:rPr>
          <w:sz w:val="28"/>
        </w:rPr>
        <w:t xml:space="preserve">го </w:t>
      </w:r>
    </w:p>
    <w:p w:rsidR="00C91432" w:rsidRDefault="00C91432" w:rsidP="00C91432">
      <w:pPr>
        <w:spacing w:after="40"/>
        <w:ind w:left="5040"/>
        <w:jc w:val="both"/>
        <w:rPr>
          <w:sz w:val="28"/>
        </w:rPr>
      </w:pPr>
      <w:r>
        <w:rPr>
          <w:sz w:val="28"/>
        </w:rPr>
        <w:t>и дошкольного образ</w:t>
      </w:r>
      <w:r>
        <w:rPr>
          <w:sz w:val="28"/>
        </w:rPr>
        <w:t>о</w:t>
      </w:r>
      <w:r>
        <w:rPr>
          <w:sz w:val="28"/>
        </w:rPr>
        <w:t>вания</w:t>
      </w:r>
    </w:p>
    <w:p w:rsidR="00C91432" w:rsidRDefault="00C91432" w:rsidP="00C91432">
      <w:pPr>
        <w:spacing w:after="40"/>
        <w:ind w:left="5040"/>
        <w:jc w:val="both"/>
        <w:rPr>
          <w:sz w:val="28"/>
        </w:rPr>
      </w:pPr>
      <w:r>
        <w:rPr>
          <w:sz w:val="28"/>
        </w:rPr>
        <w:t>от 20.04.2004  № 14-51-102/13</w:t>
      </w:r>
    </w:p>
    <w:p w:rsidR="00C91432" w:rsidRDefault="00C91432" w:rsidP="00C91432">
      <w:pPr>
        <w:tabs>
          <w:tab w:val="left" w:pos="6220"/>
        </w:tabs>
        <w:spacing w:after="40"/>
        <w:ind w:left="5040"/>
        <w:jc w:val="both"/>
        <w:rPr>
          <w:sz w:val="28"/>
        </w:rPr>
      </w:pPr>
      <w:r>
        <w:rPr>
          <w:sz w:val="28"/>
        </w:rPr>
        <w:tab/>
      </w:r>
    </w:p>
    <w:p w:rsidR="00C91432" w:rsidRDefault="00C91432" w:rsidP="00C91432">
      <w:pPr>
        <w:pStyle w:val="2"/>
        <w:ind w:right="-5" w:firstLine="709"/>
      </w:pPr>
      <w:r>
        <w:rPr>
          <w:color w:val="000000"/>
        </w:rPr>
        <w:t>Рекомендации по организации профильного обучения на основе индивидуальных учебных планов обучающихся</w:t>
      </w:r>
    </w:p>
    <w:p w:rsidR="00C91432" w:rsidRDefault="00C91432" w:rsidP="00C91432">
      <w:pPr>
        <w:pStyle w:val="2"/>
        <w:ind w:right="-5" w:firstLine="709"/>
      </w:pPr>
    </w:p>
    <w:p w:rsidR="00C91432" w:rsidRDefault="00C91432" w:rsidP="00C91432">
      <w:pPr>
        <w:pStyle w:val="2"/>
        <w:ind w:right="-5" w:firstLine="709"/>
      </w:pPr>
    </w:p>
    <w:p w:rsidR="00C91432" w:rsidRDefault="00C91432" w:rsidP="00C91432">
      <w:pPr>
        <w:pStyle w:val="3"/>
        <w:spacing w:before="0" w:after="0"/>
        <w:ind w:righ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:rsidR="00C91432" w:rsidRDefault="00C91432" w:rsidP="00C91432">
      <w:pPr>
        <w:ind w:right="-5" w:firstLine="360"/>
        <w:jc w:val="both"/>
        <w:rPr>
          <w:sz w:val="28"/>
        </w:rPr>
      </w:pP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Введение  на третьей ступени общего образования двухуровневого федерального ко</w:t>
      </w:r>
      <w:r>
        <w:rPr>
          <w:sz w:val="28"/>
        </w:rPr>
        <w:t>м</w:t>
      </w:r>
      <w:r>
        <w:rPr>
          <w:sz w:val="28"/>
        </w:rPr>
        <w:t>понента государственного образовательного стандарта (базовый, профильный уровни), нового федерального Б</w:t>
      </w:r>
      <w:r>
        <w:rPr>
          <w:sz w:val="28"/>
        </w:rPr>
        <w:t>а</w:t>
      </w:r>
      <w:r>
        <w:rPr>
          <w:sz w:val="28"/>
        </w:rPr>
        <w:t>зисного учебного плана, утвержденного приказом Минобразования России от 09.03.2004 № 1312, предполагает, что региональные и муниципальные органы управления образованием,  каждое общеобразовательное учреждение будут строить свои модели организации профильного об</w:t>
      </w:r>
      <w:r>
        <w:rPr>
          <w:sz w:val="28"/>
        </w:rPr>
        <w:t>у</w:t>
      </w:r>
      <w:r>
        <w:rPr>
          <w:sz w:val="28"/>
        </w:rPr>
        <w:t xml:space="preserve">чения старшеклассников.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Использование индивид</w:t>
      </w:r>
      <w:r>
        <w:rPr>
          <w:sz w:val="28"/>
        </w:rPr>
        <w:t>у</w:t>
      </w:r>
      <w:r>
        <w:rPr>
          <w:sz w:val="28"/>
        </w:rPr>
        <w:t>ального учебного плана при профильном обучении позволяют реализовывать различные образовательные потребности обучающихся, их семей, работодателей, учрежд</w:t>
      </w:r>
      <w:r>
        <w:rPr>
          <w:sz w:val="28"/>
        </w:rPr>
        <w:t>е</w:t>
      </w:r>
      <w:r>
        <w:rPr>
          <w:sz w:val="28"/>
        </w:rPr>
        <w:t xml:space="preserve">ний профессионального образования в общеобразовательных учреждениях различных видов.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b/>
          <w:sz w:val="28"/>
        </w:rPr>
        <w:t>Под индивидуальным учебным планом (ИУП)</w:t>
      </w:r>
      <w:r>
        <w:rPr>
          <w:sz w:val="28"/>
        </w:rPr>
        <w:t xml:space="preserve"> понимается совокупность учебных предметов (курсов), выбранных для освоения обучающимся из  учебного  плана общеобразовательного учреждения, составленного на основе  федерального Базисного учебного плана. В рамках сетевого взаимодействия образовательных  учреждений (организаций) при составлении ИУП возможно использование  учебных предметов (курсов) нескольких образовательных учре</w:t>
      </w:r>
      <w:r>
        <w:rPr>
          <w:sz w:val="28"/>
        </w:rPr>
        <w:t>ж</w:t>
      </w:r>
      <w:r>
        <w:rPr>
          <w:sz w:val="28"/>
        </w:rPr>
        <w:t>дений (организаций).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Эффективность использования ИУП подтверждается  международным опытом. Во многих странах (Великобритания, Соединенные Штаты Америки, страны Скандинавии и др.) в обр</w:t>
      </w:r>
      <w:r>
        <w:rPr>
          <w:sz w:val="28"/>
        </w:rPr>
        <w:t>а</w:t>
      </w:r>
      <w:r>
        <w:rPr>
          <w:sz w:val="28"/>
        </w:rPr>
        <w:t>зовательных учреждениях общепринятой является практика предоставления школьнику права самостоятельного формирования инд</w:t>
      </w:r>
      <w:r>
        <w:rPr>
          <w:sz w:val="28"/>
        </w:rPr>
        <w:t>и</w:t>
      </w:r>
      <w:r>
        <w:rPr>
          <w:sz w:val="28"/>
        </w:rPr>
        <w:t>видуального учебного плана, определения сроков и способов его освоения,  прохождения процедур промежуточной и итоговой аттестации, соответствующих особенностям индив</w:t>
      </w:r>
      <w:r>
        <w:rPr>
          <w:sz w:val="28"/>
        </w:rPr>
        <w:t>и</w:t>
      </w:r>
      <w:r>
        <w:rPr>
          <w:sz w:val="28"/>
        </w:rPr>
        <w:t>дуального плана.</w:t>
      </w:r>
    </w:p>
    <w:p w:rsidR="00C91432" w:rsidRDefault="00C91432" w:rsidP="00C91432">
      <w:pPr>
        <w:ind w:right="-5" w:firstLine="360"/>
        <w:jc w:val="both"/>
        <w:rPr>
          <w:sz w:val="28"/>
        </w:rPr>
      </w:pPr>
    </w:p>
    <w:p w:rsidR="00C91432" w:rsidRDefault="00C91432" w:rsidP="00C91432">
      <w:pPr>
        <w:ind w:right="-5" w:firstLine="360"/>
        <w:jc w:val="both"/>
        <w:rPr>
          <w:b/>
          <w:sz w:val="28"/>
        </w:rPr>
      </w:pPr>
      <w:r>
        <w:rPr>
          <w:b/>
          <w:sz w:val="28"/>
        </w:rPr>
        <w:t>Нормативно-правовой основой обучения по индивидуальным уче</w:t>
      </w:r>
      <w:r>
        <w:rPr>
          <w:b/>
          <w:sz w:val="28"/>
        </w:rPr>
        <w:t>б</w:t>
      </w:r>
      <w:r>
        <w:rPr>
          <w:b/>
          <w:sz w:val="28"/>
        </w:rPr>
        <w:t xml:space="preserve">ным планам являются: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 xml:space="preserve">Федеральный Закон «Об образовании», который указывает, что «…Обучающиеся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 </w:t>
      </w:r>
      <w:r>
        <w:rPr>
          <w:sz w:val="28"/>
        </w:rPr>
        <w:sym w:font="Symbol" w:char="F03C"/>
      </w:r>
      <w:r>
        <w:rPr>
          <w:sz w:val="28"/>
        </w:rPr>
        <w:t>…</w:t>
      </w:r>
      <w:r>
        <w:rPr>
          <w:sz w:val="28"/>
        </w:rPr>
        <w:sym w:font="Symbol" w:char="F03E"/>
      </w:r>
      <w:r>
        <w:rPr>
          <w:sz w:val="28"/>
        </w:rPr>
        <w:t>. Обучение гра</w:t>
      </w:r>
      <w:r>
        <w:rPr>
          <w:sz w:val="28"/>
        </w:rPr>
        <w:t>ж</w:t>
      </w:r>
      <w:r>
        <w:rPr>
          <w:sz w:val="28"/>
        </w:rPr>
        <w:t xml:space="preserve">дан по </w:t>
      </w:r>
      <w:r>
        <w:rPr>
          <w:sz w:val="28"/>
        </w:rPr>
        <w:lastRenderedPageBreak/>
        <w:t>индивидуальным учебным планам в пределах государственного образовательного стандарта &lt;…&gt; регламентируется уставом данного образовательного учреждения» (п.1 ст. 50);</w:t>
      </w:r>
      <w:r>
        <w:rPr>
          <w:sz w:val="28"/>
          <w:vertAlign w:val="superscript"/>
        </w:rPr>
        <w:footnoteReference w:id="2"/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 xml:space="preserve">концепция профильного обучения на третьей ступени общего образования исходит из многообразия форм его реализации. Наряду с созданием профильных классов и групп, на основе примерных учебных планов профилей важно предоставить обучающемуся право освоения образовательных программ на основе ИУП;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федеральный Базисный учебный план для среднего (полного) общего образования (приложение к приказу Минобразов</w:t>
      </w:r>
      <w:r>
        <w:rPr>
          <w:sz w:val="28"/>
        </w:rPr>
        <w:t>а</w:t>
      </w:r>
      <w:r>
        <w:rPr>
          <w:sz w:val="28"/>
        </w:rPr>
        <w:t>ния России</w:t>
      </w:r>
      <w:r>
        <w:rPr>
          <w:caps/>
          <w:sz w:val="28"/>
        </w:rPr>
        <w:t xml:space="preserve"> </w:t>
      </w:r>
      <w:r>
        <w:rPr>
          <w:sz w:val="28"/>
        </w:rPr>
        <w:t>от 09.03.2004 № 1312);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уставы общеобразовательных учреждений, реализующих практику ИУП. В соотве</w:t>
      </w:r>
      <w:r>
        <w:rPr>
          <w:sz w:val="28"/>
        </w:rPr>
        <w:t>т</w:t>
      </w:r>
      <w:r>
        <w:rPr>
          <w:sz w:val="28"/>
        </w:rPr>
        <w:t>ствующих разделах уставов данных общеобразовательных учреждений целесообразно пр</w:t>
      </w:r>
      <w:r>
        <w:rPr>
          <w:sz w:val="28"/>
        </w:rPr>
        <w:t>о</w:t>
      </w:r>
      <w:r>
        <w:rPr>
          <w:sz w:val="28"/>
        </w:rPr>
        <w:t>писать</w:t>
      </w:r>
      <w:r>
        <w:rPr>
          <w:rStyle w:val="a3"/>
          <w:sz w:val="28"/>
        </w:rPr>
        <w:footnoteReference w:id="3"/>
      </w:r>
      <w:r>
        <w:rPr>
          <w:sz w:val="28"/>
        </w:rPr>
        <w:t xml:space="preserve">: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 xml:space="preserve">- наличие прав обучающихся на обучение по ИУП; </w:t>
      </w:r>
    </w:p>
    <w:p w:rsidR="00C91432" w:rsidRDefault="00C91432" w:rsidP="00C91432">
      <w:pPr>
        <w:ind w:firstLine="360"/>
        <w:jc w:val="both"/>
        <w:rPr>
          <w:sz w:val="28"/>
        </w:rPr>
      </w:pPr>
      <w:r>
        <w:rPr>
          <w:sz w:val="28"/>
        </w:rPr>
        <w:t>- возможность организации образовательного процесса для обучающихся по  ИУП (в том числе с использованием ускоренных курсов обучения, экстерната);</w:t>
      </w:r>
    </w:p>
    <w:p w:rsidR="00C91432" w:rsidRDefault="00C91432" w:rsidP="00C91432">
      <w:pPr>
        <w:ind w:firstLine="360"/>
        <w:jc w:val="both"/>
        <w:rPr>
          <w:sz w:val="28"/>
        </w:rPr>
      </w:pPr>
      <w:r>
        <w:rPr>
          <w:sz w:val="28"/>
        </w:rPr>
        <w:t>- особый порядок оценивания, промежуточной и по некоторым дисциплинам итоговой аттестации при обучении по ИУП;</w:t>
      </w:r>
    </w:p>
    <w:p w:rsidR="00C91432" w:rsidRDefault="00C91432" w:rsidP="00C91432">
      <w:pPr>
        <w:ind w:firstLine="360"/>
        <w:jc w:val="both"/>
        <w:rPr>
          <w:sz w:val="28"/>
        </w:rPr>
      </w:pPr>
      <w:r>
        <w:rPr>
          <w:sz w:val="28"/>
        </w:rPr>
        <w:t xml:space="preserve">- порядок разработки, утверждения и периодической корректировки ИУП учащихся (это также может быть отнесено к компетенции администрации школы, педагогического совета, органов школьного самоуправления и пр.). </w:t>
      </w:r>
    </w:p>
    <w:p w:rsidR="00C91432" w:rsidRDefault="00C91432" w:rsidP="00C91432">
      <w:pPr>
        <w:ind w:right="-5"/>
        <w:jc w:val="both"/>
        <w:rPr>
          <w:sz w:val="28"/>
        </w:rPr>
      </w:pPr>
    </w:p>
    <w:p w:rsidR="00C91432" w:rsidRDefault="00C91432" w:rsidP="00C91432">
      <w:pPr>
        <w:pStyle w:val="3"/>
        <w:spacing w:before="0" w:after="0"/>
        <w:ind w:right="-5" w:firstLine="360"/>
        <w:rPr>
          <w:rFonts w:ascii="Times New Roman" w:hAnsi="Times New Roman"/>
          <w:sz w:val="28"/>
        </w:rPr>
      </w:pPr>
      <w:bookmarkStart w:id="0" w:name="_Toc63274243"/>
      <w:r>
        <w:rPr>
          <w:rFonts w:ascii="Times New Roman" w:hAnsi="Times New Roman"/>
          <w:sz w:val="28"/>
        </w:rPr>
        <w:t xml:space="preserve">Модели организации профильного обучения на  </w:t>
      </w:r>
      <w:bookmarkEnd w:id="0"/>
      <w:r>
        <w:rPr>
          <w:rFonts w:ascii="Times New Roman" w:hAnsi="Times New Roman"/>
          <w:sz w:val="28"/>
        </w:rPr>
        <w:t>основе ИУП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В различных моделях пр</w:t>
      </w:r>
      <w:r>
        <w:rPr>
          <w:sz w:val="28"/>
        </w:rPr>
        <w:t>о</w:t>
      </w:r>
      <w:r>
        <w:rPr>
          <w:sz w:val="28"/>
        </w:rPr>
        <w:t>фильного обучения может вводится ИУП обучающихся следующим образом: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>Модель внутришкольной профилизации.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 xml:space="preserve">Общеобразовательное учреждение может быть </w:t>
      </w:r>
      <w:r>
        <w:rPr>
          <w:b/>
          <w:sz w:val="28"/>
        </w:rPr>
        <w:t>однопрофильным</w:t>
      </w:r>
      <w:r>
        <w:rPr>
          <w:sz w:val="28"/>
        </w:rPr>
        <w:t xml:space="preserve"> (реализовывать тол</w:t>
      </w:r>
      <w:r>
        <w:rPr>
          <w:sz w:val="28"/>
        </w:rPr>
        <w:t>ь</w:t>
      </w:r>
      <w:r>
        <w:rPr>
          <w:sz w:val="28"/>
        </w:rPr>
        <w:t xml:space="preserve">ко один избранный профиль) и </w:t>
      </w:r>
      <w:r>
        <w:rPr>
          <w:b/>
          <w:sz w:val="28"/>
        </w:rPr>
        <w:t>многопрофильным</w:t>
      </w:r>
      <w:r>
        <w:rPr>
          <w:sz w:val="28"/>
        </w:rPr>
        <w:t xml:space="preserve"> (организовать несколько профилей обучения).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Кроме того, общеобразовательное учреждение может быть в целом не ориентировано на конкре</w:t>
      </w:r>
      <w:r>
        <w:rPr>
          <w:sz w:val="28"/>
        </w:rPr>
        <w:t>т</w:t>
      </w:r>
      <w:r>
        <w:rPr>
          <w:sz w:val="28"/>
        </w:rPr>
        <w:t>ные профили, однако за счет значительного увеличения числа предлагаемых профильных и электи</w:t>
      </w:r>
      <w:r>
        <w:rPr>
          <w:sz w:val="28"/>
        </w:rPr>
        <w:t>в</w:t>
      </w:r>
      <w:r>
        <w:rPr>
          <w:sz w:val="28"/>
        </w:rPr>
        <w:t>ных курсов предоставлять  обучающимся (в том числе, в форме учебных ме</w:t>
      </w:r>
      <w:r>
        <w:rPr>
          <w:sz w:val="28"/>
        </w:rPr>
        <w:t>ж</w:t>
      </w:r>
      <w:r>
        <w:rPr>
          <w:sz w:val="28"/>
        </w:rPr>
        <w:t>классных групп) в полной мере реализовать свои индивидуальные профильные образов</w:t>
      </w:r>
      <w:r>
        <w:rPr>
          <w:sz w:val="28"/>
        </w:rPr>
        <w:t>а</w:t>
      </w:r>
      <w:r>
        <w:rPr>
          <w:sz w:val="28"/>
        </w:rPr>
        <w:t>тельные программы через ИУП.</w:t>
      </w:r>
    </w:p>
    <w:p w:rsidR="00C91432" w:rsidRDefault="00C91432" w:rsidP="00C91432">
      <w:pPr>
        <w:ind w:right="-5" w:firstLine="360"/>
        <w:jc w:val="both"/>
        <w:rPr>
          <w:b/>
          <w:sz w:val="28"/>
        </w:rPr>
      </w:pPr>
      <w:r>
        <w:rPr>
          <w:b/>
          <w:sz w:val="28"/>
        </w:rPr>
        <w:lastRenderedPageBreak/>
        <w:t>2</w:t>
      </w:r>
      <w:r>
        <w:rPr>
          <w:sz w:val="28"/>
        </w:rPr>
        <w:t>. Модель сетевого взаимодействия образовательных учреждений и организаций.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В данной модели профильное обучение обучающихся конкретного общеобразовательного учреждения осуществляе</w:t>
      </w:r>
      <w:r>
        <w:rPr>
          <w:sz w:val="28"/>
        </w:rPr>
        <w:t>т</w:t>
      </w:r>
      <w:r>
        <w:rPr>
          <w:sz w:val="28"/>
        </w:rPr>
        <w:t>ся за счет целенаправленного и организованного привлечения и использования образовательных ресурсов иных образовательных учреждений и организаций. Оно может строиться в двух основных вариантах.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i/>
          <w:sz w:val="28"/>
        </w:rPr>
        <w:t>Первый вариант</w:t>
      </w:r>
      <w:r>
        <w:rPr>
          <w:sz w:val="28"/>
        </w:rPr>
        <w:t xml:space="preserve"> связан с объединением нескольких общеобразовательных учреждений вокруг образовательного у</w:t>
      </w:r>
      <w:r>
        <w:rPr>
          <w:sz w:val="28"/>
        </w:rPr>
        <w:t>ч</w:t>
      </w:r>
      <w:r>
        <w:rPr>
          <w:sz w:val="28"/>
        </w:rPr>
        <w:t>реждения, обладающего достаточным м</w:t>
      </w:r>
      <w:r>
        <w:rPr>
          <w:sz w:val="28"/>
        </w:rPr>
        <w:t>а</w:t>
      </w:r>
      <w:r>
        <w:rPr>
          <w:sz w:val="28"/>
        </w:rPr>
        <w:t>териальным и кадровым потенциалом, способного стать «ресурсным центром» для других школ. В этом случае каждое общеобразовательное учреждение данной группы обеспечивает преподавание в полном объеме базовых  учебных предметов и ту часть профильного обучения (профильные предметы и эле</w:t>
      </w:r>
      <w:r>
        <w:rPr>
          <w:sz w:val="28"/>
        </w:rPr>
        <w:t>к</w:t>
      </w:r>
      <w:r>
        <w:rPr>
          <w:sz w:val="28"/>
        </w:rPr>
        <w:t>тивные курсы), которую оно способно реализовать в рамках своих возможностей. Остал</w:t>
      </w:r>
      <w:r>
        <w:rPr>
          <w:sz w:val="28"/>
        </w:rPr>
        <w:t>ь</w:t>
      </w:r>
      <w:r>
        <w:rPr>
          <w:sz w:val="28"/>
        </w:rPr>
        <w:t>ную профильную подготовку берет на себя «ресурсный центр».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i/>
          <w:sz w:val="28"/>
        </w:rPr>
        <w:t>Второй вариант</w:t>
      </w:r>
      <w:r>
        <w:rPr>
          <w:sz w:val="28"/>
        </w:rPr>
        <w:t xml:space="preserve"> основан на паритетной кооперации общеобразовательного учреждения с учреждениями общего, дополнительного, высшего, среднего и начального професси</w:t>
      </w:r>
      <w:r>
        <w:rPr>
          <w:sz w:val="28"/>
        </w:rPr>
        <w:t>о</w:t>
      </w:r>
      <w:r>
        <w:rPr>
          <w:sz w:val="28"/>
        </w:rPr>
        <w:t>нального образования и привлечении дополнительных образовательных ресурсов. В этом случае учащимся предо</w:t>
      </w:r>
      <w:r>
        <w:rPr>
          <w:sz w:val="28"/>
        </w:rPr>
        <w:t>с</w:t>
      </w:r>
      <w:r>
        <w:rPr>
          <w:sz w:val="28"/>
        </w:rPr>
        <w:t>тавляется право выбора способов профильного обучения не только там, где он учится, но и в кооперированных с общеобразовательным учреждением образ</w:t>
      </w:r>
      <w:r>
        <w:rPr>
          <w:sz w:val="28"/>
        </w:rPr>
        <w:t>о</w:t>
      </w:r>
      <w:r>
        <w:rPr>
          <w:sz w:val="28"/>
        </w:rPr>
        <w:t>вательных структурах (заочные школы, дистанционные курсы, учреждения профессионал</w:t>
      </w:r>
      <w:r>
        <w:rPr>
          <w:sz w:val="28"/>
        </w:rPr>
        <w:t>ь</w:t>
      </w:r>
      <w:r>
        <w:rPr>
          <w:sz w:val="28"/>
        </w:rPr>
        <w:t>ного образования и др.).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Выбор конкретной м</w:t>
      </w:r>
      <w:r>
        <w:rPr>
          <w:sz w:val="28"/>
        </w:rPr>
        <w:t>о</w:t>
      </w:r>
      <w:r>
        <w:rPr>
          <w:sz w:val="28"/>
        </w:rPr>
        <w:t>дели организации профильного обучения определяется, прежде всего, ресурсами, котор</w:t>
      </w:r>
      <w:r>
        <w:rPr>
          <w:sz w:val="28"/>
        </w:rPr>
        <w:t>ы</w:t>
      </w:r>
      <w:r>
        <w:rPr>
          <w:sz w:val="28"/>
        </w:rPr>
        <w:t xml:space="preserve">ми  располагает школа и ее партнеры, муниципальная система образования в целом.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Возможна реализация смешанных моделей, когда часть обучающихся старших классов реализуют свои ИУП в одном общеобразовательном учреждении, а  другая часть старшеклассников использует образовательные  возможности сети.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Порядок и механизм построения индивидуальных учебных планов в рамках модели сетевого вза</w:t>
      </w:r>
      <w:r>
        <w:rPr>
          <w:sz w:val="28"/>
        </w:rPr>
        <w:t>и</w:t>
      </w:r>
      <w:r>
        <w:rPr>
          <w:sz w:val="28"/>
        </w:rPr>
        <w:t>модействия образовательных учреждений и организаций в настоящий момент разрабатывается и будет направлен в суб</w:t>
      </w:r>
      <w:r>
        <w:rPr>
          <w:sz w:val="28"/>
        </w:rPr>
        <w:t>ъ</w:t>
      </w:r>
      <w:r>
        <w:rPr>
          <w:sz w:val="28"/>
        </w:rPr>
        <w:t>екты Российской Федерации отдельным письмом. Однако предварительно при организационной разработке вышеназванных вариантов необходимо решать вопросы обеспечения безопасности жизни и здоровья детей, их сопровождения к различным местам обучения взрослыми, нормативных документов об ответственности учредителей и руководителей учреждений.</w:t>
      </w:r>
    </w:p>
    <w:p w:rsidR="00C91432" w:rsidRDefault="00C91432" w:rsidP="00C91432">
      <w:pPr>
        <w:ind w:right="-5"/>
        <w:jc w:val="both"/>
        <w:rPr>
          <w:sz w:val="28"/>
        </w:rPr>
      </w:pPr>
    </w:p>
    <w:p w:rsidR="00C91432" w:rsidRDefault="00C91432" w:rsidP="00C91432">
      <w:pPr>
        <w:pStyle w:val="3"/>
        <w:spacing w:before="0" w:after="0"/>
        <w:ind w:right="-5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организации профильного обучения с предоставлением выбора на основе индивидуального учебного плана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 xml:space="preserve">Построение обучения на основе индивидуальных учебных планов меняет принципы формирования учебного плана общеобразовательного учреждения, равно как и составления школьного расписания занятий. Сначала  </w:t>
      </w:r>
      <w:r>
        <w:rPr>
          <w:sz w:val="28"/>
        </w:rPr>
        <w:lastRenderedPageBreak/>
        <w:t>общеобразовательное учреждение определяет общий набор учебных предметов и ку</w:t>
      </w:r>
      <w:r>
        <w:rPr>
          <w:sz w:val="28"/>
        </w:rPr>
        <w:t>р</w:t>
      </w:r>
      <w:r>
        <w:rPr>
          <w:sz w:val="28"/>
        </w:rPr>
        <w:t>сов, предлагаемых для освоения, затем формируются индивидуальные учебные планы ка</w:t>
      </w:r>
      <w:r>
        <w:rPr>
          <w:sz w:val="28"/>
        </w:rPr>
        <w:t>ж</w:t>
      </w:r>
      <w:r>
        <w:rPr>
          <w:sz w:val="28"/>
        </w:rPr>
        <w:t>дого ученика, и лишь затем их совокупность определяет учебный план и расписание занятий для да</w:t>
      </w:r>
      <w:r>
        <w:rPr>
          <w:sz w:val="28"/>
        </w:rPr>
        <w:t>н</w:t>
      </w:r>
      <w:r>
        <w:rPr>
          <w:sz w:val="28"/>
        </w:rPr>
        <w:t>ного учреждения в целом.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В общеобразовательных учреждениях, работающих на основе ИУП,  изменяется практика  изучения обучающимися всех учебных предметов в составе одного и того же класса. Совоку</w:t>
      </w:r>
      <w:r>
        <w:rPr>
          <w:sz w:val="28"/>
        </w:rPr>
        <w:t>п</w:t>
      </w:r>
      <w:r>
        <w:rPr>
          <w:sz w:val="28"/>
        </w:rPr>
        <w:t>ность индивидуальных учебных планов  обучающихся старших классов становится основой для их распредел</w:t>
      </w:r>
      <w:r>
        <w:rPr>
          <w:sz w:val="28"/>
        </w:rPr>
        <w:t>е</w:t>
      </w:r>
      <w:r>
        <w:rPr>
          <w:sz w:val="28"/>
        </w:rPr>
        <w:t>ния по учебным группам, классам.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Новая структура федерального Базисного учебного плана</w:t>
      </w:r>
      <w:r>
        <w:rPr>
          <w:rStyle w:val="a3"/>
          <w:sz w:val="28"/>
        </w:rPr>
        <w:footnoteReference w:id="4"/>
      </w:r>
      <w:r>
        <w:rPr>
          <w:sz w:val="28"/>
        </w:rPr>
        <w:t xml:space="preserve"> позволяет вводить  ИУП по всем базовым, профильным предметам и элективным  курсам.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 xml:space="preserve">В Пояснительной записке к проекту нового Базисного учебного плана говорится, что «…выбирая различные сочетания базовых и профильных курсов и учитывая нормативы учебного времени, установленные СанПиНами, каждое общеобразовательное учреждение, а в принципе и каждый  обучающийся вправе формировать собственный учебный план…». 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Составление учебного плана общеобразовательного учреждения и школьного расписания, основанного на индивидуальных учебных планах учеников, может осуществляться в три этапа.</w:t>
      </w:r>
    </w:p>
    <w:p w:rsidR="00C91432" w:rsidRDefault="00C91432" w:rsidP="00C91432">
      <w:pPr>
        <w:keepNext/>
        <w:keepLines/>
        <w:ind w:right="-6" w:firstLine="357"/>
        <w:jc w:val="both"/>
        <w:rPr>
          <w:sz w:val="28"/>
        </w:rPr>
      </w:pPr>
      <w:r>
        <w:rPr>
          <w:sz w:val="28"/>
        </w:rPr>
        <w:t>Этап 1. Формирование списка  учебных предметов и курсов, предлагаемых  обучающимся.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Данный этап начинается с составления предварительного варианта учебного плана  общеобразовательного учреждения, включающего в себя набор учебных предметов, которые данное учреждение может предложить ученикам на выбор. В соответствии с  федеральным Базисным учебным планом опр</w:t>
      </w:r>
      <w:r>
        <w:rPr>
          <w:sz w:val="28"/>
        </w:rPr>
        <w:t>е</w:t>
      </w:r>
      <w:r>
        <w:rPr>
          <w:sz w:val="28"/>
        </w:rPr>
        <w:t>деляется  перечень обязательных предметов на базовом уровне (федеральный компонент).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Далее перечень дополняется профильными предметами, которые школа предлагает обучающемуся для выбора.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Затем учебный план  общеобразовательного учреждения дополняется предметами, включая предметы регионального компонента, и элективными курсами. Перечень и содержание электи</w:t>
      </w:r>
      <w:r>
        <w:rPr>
          <w:sz w:val="28"/>
        </w:rPr>
        <w:t>в</w:t>
      </w:r>
      <w:r>
        <w:rPr>
          <w:sz w:val="28"/>
        </w:rPr>
        <w:t xml:space="preserve">ных курсов определяется школой (компонент образовательного учреждения).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Этап 2. Составление индивидуальных учебных планов, учебного плана общеобразовательного учреждения  и расписания занятий.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Обучающиеся выбирают предметы, которые хотят изучать на профил</w:t>
      </w:r>
      <w:r>
        <w:rPr>
          <w:sz w:val="28"/>
        </w:rPr>
        <w:t>ь</w:t>
      </w:r>
      <w:r>
        <w:rPr>
          <w:sz w:val="28"/>
        </w:rPr>
        <w:t>ном уровне (их должно быть не менее двух). Следует обратить особое внимание на следующие полож</w:t>
      </w:r>
      <w:r>
        <w:rPr>
          <w:sz w:val="28"/>
        </w:rPr>
        <w:t>е</w:t>
      </w:r>
      <w:r>
        <w:rPr>
          <w:sz w:val="28"/>
        </w:rPr>
        <w:t>ния федерального  Базисного учебного плана:</w:t>
      </w:r>
    </w:p>
    <w:p w:rsidR="00C91432" w:rsidRDefault="00C91432" w:rsidP="00C91432">
      <w:pPr>
        <w:numPr>
          <w:ilvl w:val="0"/>
          <w:numId w:val="1"/>
        </w:numPr>
        <w:tabs>
          <w:tab w:val="clear" w:pos="720"/>
        </w:tabs>
        <w:ind w:left="0" w:right="-5" w:firstLine="360"/>
        <w:jc w:val="both"/>
        <w:rPr>
          <w:sz w:val="28"/>
        </w:rPr>
      </w:pPr>
      <w:r>
        <w:rPr>
          <w:sz w:val="28"/>
        </w:rPr>
        <w:t xml:space="preserve">если предметы «Математика», «Русский язык», «Литература», «Иностранный язык», «История», входящие в инвариантную часть БУПа, </w:t>
      </w:r>
      <w:r>
        <w:rPr>
          <w:sz w:val="28"/>
        </w:rPr>
        <w:lastRenderedPageBreak/>
        <w:t>изучаются на профильном уровне, то на базовом уровне эти предметы не изучаются;</w:t>
      </w:r>
    </w:p>
    <w:p w:rsidR="00C91432" w:rsidRDefault="00C91432" w:rsidP="00C91432">
      <w:pPr>
        <w:numPr>
          <w:ilvl w:val="0"/>
          <w:numId w:val="1"/>
        </w:numPr>
        <w:tabs>
          <w:tab w:val="clear" w:pos="720"/>
        </w:tabs>
        <w:ind w:left="0" w:right="-5" w:firstLine="360"/>
        <w:jc w:val="both"/>
        <w:rPr>
          <w:sz w:val="28"/>
        </w:rPr>
      </w:pPr>
      <w:r>
        <w:rPr>
          <w:sz w:val="28"/>
        </w:rPr>
        <w:t>в случае, если на базовом или профильном уровне изучаются три уче</w:t>
      </w:r>
      <w:r>
        <w:rPr>
          <w:sz w:val="28"/>
        </w:rPr>
        <w:t>б</w:t>
      </w:r>
      <w:r>
        <w:rPr>
          <w:sz w:val="28"/>
        </w:rPr>
        <w:t>ных предмета естественнонаучного цикла, то интегрированный курс «Естес</w:t>
      </w:r>
      <w:r>
        <w:rPr>
          <w:sz w:val="28"/>
        </w:rPr>
        <w:t>т</w:t>
      </w:r>
      <w:r>
        <w:rPr>
          <w:sz w:val="28"/>
        </w:rPr>
        <w:t xml:space="preserve">вознание» на базовом уровне не изучается; </w:t>
      </w:r>
    </w:p>
    <w:p w:rsidR="00C91432" w:rsidRDefault="00C91432" w:rsidP="00C91432">
      <w:pPr>
        <w:numPr>
          <w:ilvl w:val="0"/>
          <w:numId w:val="1"/>
        </w:numPr>
        <w:tabs>
          <w:tab w:val="clear" w:pos="720"/>
        </w:tabs>
        <w:ind w:left="0" w:right="-5" w:firstLine="360"/>
        <w:jc w:val="both"/>
        <w:rPr>
          <w:sz w:val="28"/>
        </w:rPr>
      </w:pPr>
      <w:r>
        <w:rPr>
          <w:sz w:val="28"/>
        </w:rPr>
        <w:t>учебный предмет «Обществознание» в старшей школе на базовом уровне включает модули (разделы) «обществоведение», «экономика» и «право», которые могут препод</w:t>
      </w:r>
      <w:r>
        <w:rPr>
          <w:sz w:val="28"/>
        </w:rPr>
        <w:t>а</w:t>
      </w:r>
      <w:r>
        <w:rPr>
          <w:sz w:val="28"/>
        </w:rPr>
        <w:t>ваться как в составе данного предмета, так и в качестве самостоятельных учебных предм</w:t>
      </w:r>
      <w:r>
        <w:rPr>
          <w:sz w:val="28"/>
        </w:rPr>
        <w:t>е</w:t>
      </w:r>
      <w:r>
        <w:rPr>
          <w:sz w:val="28"/>
        </w:rPr>
        <w:t>тов. На профильном уровне «обществоведение», «экономика» и «право» изучаются как самостоятельные учебные предметы в различных комбинациях в зависимости от выбранн</w:t>
      </w:r>
      <w:r>
        <w:rPr>
          <w:sz w:val="28"/>
        </w:rPr>
        <w:t>о</w:t>
      </w:r>
      <w:r>
        <w:rPr>
          <w:sz w:val="28"/>
        </w:rPr>
        <w:t>го профиля. В случае, если «Обществоведение» и один из учебных предметов социально-экономического цикла («Экономика», «Право») изучаются на профильном уровне, то и</w:t>
      </w:r>
      <w:r>
        <w:rPr>
          <w:sz w:val="28"/>
        </w:rPr>
        <w:t>н</w:t>
      </w:r>
      <w:r>
        <w:rPr>
          <w:sz w:val="28"/>
        </w:rPr>
        <w:t>тегрированный курс «Обществознание» на базовом уровне не изучается.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После  предложений обучающихся по выбору предметов и курсов производится подсчет суммарного объема часов, составляющих индивид</w:t>
      </w:r>
      <w:r>
        <w:rPr>
          <w:sz w:val="28"/>
        </w:rPr>
        <w:t>у</w:t>
      </w:r>
      <w:r>
        <w:rPr>
          <w:sz w:val="28"/>
        </w:rPr>
        <w:t xml:space="preserve">альный учебный план и, если потребуется, приведение  его в соответствие с объемом учебной нагрузки, предусмотренной базисным  учебным планом и СанПиНами.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Необходимо пояснить обучающимся механизм составления индивидуального учебного пл</w:t>
      </w:r>
      <w:r>
        <w:rPr>
          <w:sz w:val="28"/>
        </w:rPr>
        <w:t>а</w:t>
      </w:r>
      <w:r>
        <w:rPr>
          <w:sz w:val="28"/>
        </w:rPr>
        <w:t>на, возможности и правила его изменения за время обучения в старшей школе, формы о</w:t>
      </w:r>
      <w:r>
        <w:rPr>
          <w:sz w:val="28"/>
        </w:rPr>
        <w:t>т</w:t>
      </w:r>
      <w:r>
        <w:rPr>
          <w:sz w:val="28"/>
        </w:rPr>
        <w:t xml:space="preserve">четности по изученным курсам. 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При составлении ИУП следует обратить внимание на то, чтобы обучающиеся  и их родители понимали, что имеет место ситуация выбора, при которой изменить н</w:t>
      </w:r>
      <w:r>
        <w:rPr>
          <w:sz w:val="28"/>
        </w:rPr>
        <w:t>а</w:t>
      </w:r>
      <w:r>
        <w:rPr>
          <w:sz w:val="28"/>
        </w:rPr>
        <w:t xml:space="preserve">бор предметов можно только при выполнении определенных условий, получении соответствующих оценок при промежуточной аттестации.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 xml:space="preserve">Далее ведется работа по составлению расписания  общеобразовательного учреждения. </w:t>
      </w:r>
    </w:p>
    <w:p w:rsidR="00C91432" w:rsidRDefault="00C91432" w:rsidP="00C91432">
      <w:pPr>
        <w:ind w:right="-5" w:firstLine="360"/>
        <w:jc w:val="both"/>
        <w:rPr>
          <w:sz w:val="28"/>
        </w:rPr>
      </w:pPr>
    </w:p>
    <w:p w:rsidR="00C91432" w:rsidRDefault="00C91432" w:rsidP="00C91432">
      <w:pPr>
        <w:ind w:right="-5" w:firstLine="360"/>
        <w:jc w:val="center"/>
        <w:rPr>
          <w:b/>
          <w:sz w:val="28"/>
        </w:rPr>
      </w:pPr>
      <w:r>
        <w:rPr>
          <w:b/>
          <w:sz w:val="28"/>
        </w:rPr>
        <w:t>Составление расписания с учетом ИУП.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Разработана ко</w:t>
      </w:r>
      <w:r>
        <w:rPr>
          <w:sz w:val="28"/>
        </w:rPr>
        <w:t>м</w:t>
      </w:r>
      <w:r>
        <w:rPr>
          <w:sz w:val="28"/>
        </w:rPr>
        <w:t>пьютерная программа «ИУП-профиль», которая с учетом нормативов  федерального Базисного учебного плана, объ</w:t>
      </w:r>
      <w:r>
        <w:rPr>
          <w:sz w:val="28"/>
        </w:rPr>
        <w:t>е</w:t>
      </w:r>
      <w:r>
        <w:rPr>
          <w:sz w:val="28"/>
        </w:rPr>
        <w:t>мов допустимой учебной нагрузки, возможностей и интересов школы, объема и содержания регионального компонента учебного плана помогает школе и уч</w:t>
      </w:r>
      <w:r>
        <w:rPr>
          <w:sz w:val="28"/>
        </w:rPr>
        <w:t>а</w:t>
      </w:r>
      <w:r>
        <w:rPr>
          <w:sz w:val="28"/>
        </w:rPr>
        <w:t>щимся вести работу по созданию индивидуальных учебных планов обучения на третьей ступени. Пр</w:t>
      </w:r>
      <w:r>
        <w:rPr>
          <w:sz w:val="28"/>
        </w:rPr>
        <w:t>о</w:t>
      </w:r>
      <w:r>
        <w:rPr>
          <w:sz w:val="28"/>
        </w:rPr>
        <w:t xml:space="preserve">грамма «ИУП-профиль» прилагается к данному письму на </w:t>
      </w:r>
      <w:r>
        <w:rPr>
          <w:sz w:val="28"/>
          <w:lang w:val="en-US"/>
        </w:rPr>
        <w:t>CD</w:t>
      </w:r>
      <w:r>
        <w:rPr>
          <w:sz w:val="28"/>
        </w:rPr>
        <w:t>-</w:t>
      </w:r>
      <w:r>
        <w:rPr>
          <w:sz w:val="28"/>
          <w:lang w:val="en-US"/>
        </w:rPr>
        <w:t>ROM</w:t>
      </w:r>
      <w:r>
        <w:rPr>
          <w:sz w:val="28"/>
        </w:rPr>
        <w:t xml:space="preserve">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Администрация  общеобразовательного учреждения делает сводную таблицу, в которой суммируются инд</w:t>
      </w:r>
      <w:r>
        <w:rPr>
          <w:sz w:val="28"/>
        </w:rPr>
        <w:t>и</w:t>
      </w:r>
      <w:r>
        <w:rPr>
          <w:sz w:val="28"/>
        </w:rPr>
        <w:t>видуальные учебные планы  обучающихся старших классов. Ниже приводится пример такой таблицы для общеобразовательного учреждения, имеющей в параллели 10-х классов 50 учеников (2 кла</w:t>
      </w:r>
      <w:r>
        <w:rPr>
          <w:sz w:val="28"/>
        </w:rPr>
        <w:t>с</w:t>
      </w:r>
      <w:r>
        <w:rPr>
          <w:sz w:val="28"/>
        </w:rPr>
        <w:t>са).</w:t>
      </w:r>
    </w:p>
    <w:p w:rsidR="00C91432" w:rsidRDefault="00C91432" w:rsidP="00C91432">
      <w:pPr>
        <w:pStyle w:val="a4"/>
        <w:ind w:right="-5"/>
        <w:jc w:val="both"/>
        <w:rPr>
          <w:sz w:val="28"/>
        </w:rPr>
      </w:pPr>
      <w:r>
        <w:rPr>
          <w:sz w:val="28"/>
        </w:rPr>
        <w:t xml:space="preserve"> </w:t>
      </w:r>
    </w:p>
    <w:p w:rsidR="00C91432" w:rsidRDefault="00C91432" w:rsidP="00C91432">
      <w:pPr>
        <w:keepNext/>
        <w:keepLines/>
        <w:ind w:right="-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Таблица  общеобразовательного учреждения №__ города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по выбору учебных предметов базового и профильного  уровня (10-ые классы; первое полугодие) </w:t>
      </w:r>
    </w:p>
    <w:p w:rsidR="00C91432" w:rsidRDefault="00C91432" w:rsidP="00C91432">
      <w:pPr>
        <w:pStyle w:val="a4"/>
        <w:keepNext/>
        <w:keepLines/>
        <w:ind w:right="-6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3"/>
        <w:gridCol w:w="1074"/>
        <w:gridCol w:w="1288"/>
        <w:gridCol w:w="1075"/>
        <w:gridCol w:w="1076"/>
        <w:gridCol w:w="1288"/>
        <w:gridCol w:w="1076"/>
      </w:tblGrid>
      <w:tr w:rsidR="00C91432" w:rsidTr="00A777D8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C91432" w:rsidRDefault="00C91432" w:rsidP="00A777D8">
            <w:pPr>
              <w:keepNext/>
              <w:keepLines/>
              <w:ind w:right="-6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Учебный предмет</w:t>
            </w:r>
          </w:p>
        </w:tc>
        <w:tc>
          <w:tcPr>
            <w:tcW w:w="3437" w:type="dxa"/>
            <w:gridSpan w:val="3"/>
          </w:tcPr>
          <w:p w:rsidR="00C91432" w:rsidRDefault="00C91432" w:rsidP="00A777D8">
            <w:pPr>
              <w:keepNext/>
              <w:keepLines/>
              <w:ind w:right="-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Базовый уровень</w:t>
            </w:r>
          </w:p>
        </w:tc>
        <w:tc>
          <w:tcPr>
            <w:tcW w:w="3440" w:type="dxa"/>
            <w:gridSpan w:val="3"/>
          </w:tcPr>
          <w:p w:rsidR="00C91432" w:rsidRDefault="00C91432" w:rsidP="00A777D8">
            <w:pPr>
              <w:keepNext/>
              <w:keepLines/>
              <w:ind w:right="-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Профильный уровень</w:t>
            </w: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pStyle w:val="1"/>
              <w:ind w:right="-5"/>
              <w:rPr>
                <w:sz w:val="28"/>
              </w:rPr>
            </w:pPr>
          </w:p>
        </w:tc>
        <w:tc>
          <w:tcPr>
            <w:tcW w:w="1074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Учебных часов</w:t>
            </w:r>
          </w:p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неделю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обучающихся, выбравших данный предмет</w:t>
            </w: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Учебных групп</w:t>
            </w:r>
            <w:r>
              <w:rPr>
                <w:rStyle w:val="a3"/>
                <w:b/>
                <w:i/>
                <w:sz w:val="28"/>
              </w:rPr>
              <w:footnoteReference w:id="5"/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Учебных часов</w:t>
            </w:r>
          </w:p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неделю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обучающихся, выбравших данный предмет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Учебных групп</w:t>
            </w: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pStyle w:val="4"/>
              <w:ind w:right="-5" w:firstLine="0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  <w:tc>
          <w:tcPr>
            <w:tcW w:w="1074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tabs>
                <w:tab w:val="left" w:pos="1980"/>
              </w:tabs>
              <w:ind w:right="-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Литература</w:t>
            </w:r>
          </w:p>
        </w:tc>
        <w:tc>
          <w:tcPr>
            <w:tcW w:w="1074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tabs>
                <w:tab w:val="left" w:pos="1980"/>
              </w:tabs>
              <w:ind w:right="-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Математика</w:t>
            </w:r>
          </w:p>
        </w:tc>
        <w:tc>
          <w:tcPr>
            <w:tcW w:w="1074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tabs>
                <w:tab w:val="left" w:pos="1980"/>
              </w:tabs>
              <w:ind w:right="-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История</w:t>
            </w:r>
          </w:p>
        </w:tc>
        <w:tc>
          <w:tcPr>
            <w:tcW w:w="1074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tabs>
                <w:tab w:val="left" w:pos="1980"/>
              </w:tabs>
              <w:ind w:right="-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Информатика и ИКТ</w:t>
            </w:r>
          </w:p>
        </w:tc>
        <w:tc>
          <w:tcPr>
            <w:tcW w:w="1074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tabs>
                <w:tab w:val="left" w:pos="1980"/>
              </w:tabs>
              <w:ind w:right="-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Иностранный язык</w:t>
            </w:r>
          </w:p>
        </w:tc>
        <w:tc>
          <w:tcPr>
            <w:tcW w:w="1074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tabs>
                <w:tab w:val="left" w:pos="1980"/>
              </w:tabs>
              <w:ind w:right="-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…</w:t>
            </w:r>
          </w:p>
        </w:tc>
        <w:tc>
          <w:tcPr>
            <w:tcW w:w="1074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tabs>
                <w:tab w:val="left" w:pos="1980"/>
              </w:tabs>
              <w:ind w:right="-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Физика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color w:val="0000FF"/>
                <w:sz w:val="28"/>
              </w:rPr>
            </w:pPr>
          </w:p>
        </w:tc>
      </w:tr>
      <w:tr w:rsidR="00C91432" w:rsidTr="00A77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C91432" w:rsidRDefault="00C91432" w:rsidP="00A777D8">
            <w:pPr>
              <w:tabs>
                <w:tab w:val="left" w:pos="1980"/>
              </w:tabs>
              <w:ind w:right="-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 учебных групп</w:t>
            </w:r>
          </w:p>
        </w:tc>
        <w:tc>
          <w:tcPr>
            <w:tcW w:w="2362" w:type="dxa"/>
            <w:gridSpan w:val="2"/>
            <w:shd w:val="clear" w:color="auto" w:fill="808080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075" w:type="dxa"/>
          </w:tcPr>
          <w:p w:rsidR="00C91432" w:rsidRDefault="00C91432" w:rsidP="00A777D8">
            <w:pPr>
              <w:ind w:right="-5"/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2364" w:type="dxa"/>
            <w:gridSpan w:val="2"/>
            <w:shd w:val="clear" w:color="auto" w:fill="808080"/>
          </w:tcPr>
          <w:p w:rsidR="00C91432" w:rsidRDefault="00C91432" w:rsidP="00A777D8">
            <w:pPr>
              <w:ind w:right="-5"/>
              <w:jc w:val="center"/>
              <w:rPr>
                <w:b/>
                <w:sz w:val="28"/>
              </w:rPr>
            </w:pPr>
          </w:p>
        </w:tc>
        <w:tc>
          <w:tcPr>
            <w:tcW w:w="1076" w:type="dxa"/>
          </w:tcPr>
          <w:p w:rsidR="00C91432" w:rsidRDefault="00C91432" w:rsidP="00A777D8">
            <w:pPr>
              <w:ind w:right="-5"/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C91432" w:rsidRDefault="00C91432" w:rsidP="00C91432">
      <w:pPr>
        <w:ind w:right="-5"/>
        <w:jc w:val="both"/>
        <w:rPr>
          <w:sz w:val="28"/>
        </w:rPr>
      </w:pP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Из таблицы видно, что по учебным предметам «Русский язык», «Литература» и «Математика» возможно создание учебных групп по п</w:t>
      </w:r>
      <w:r>
        <w:rPr>
          <w:sz w:val="28"/>
        </w:rPr>
        <w:t>а</w:t>
      </w:r>
      <w:r>
        <w:rPr>
          <w:sz w:val="28"/>
        </w:rPr>
        <w:t>раллелям.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Предмет «история» школа предлагает изучать только на базовом уровне. Это означает, что формируются две подгруппы.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На занятиях по «Информатике» класс делится на подгруппы. Здесь может быть выбран, например, такой вариант: 1 подгруппа базового уровня; три - профильные.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При изучении иностранного языка класс также делится на подгруппы, следовательно, возможно создание 4 подгрупп. Сложнее обстоит дело с изучением учебного предмета «Физика». Простым перераспределением обучающихся в данном случае вопрос не решить. Группа из пяти человек может изучать физику на пр</w:t>
      </w:r>
      <w:r>
        <w:rPr>
          <w:sz w:val="28"/>
        </w:rPr>
        <w:t>о</w:t>
      </w:r>
      <w:r>
        <w:rPr>
          <w:sz w:val="28"/>
        </w:rPr>
        <w:t>фильном уровне только в том случае, если на это найдутся дополнительные средства. Их источниками могут стать: увеличение бюджетного финансирования, часы факультативов, кружков, родительские средства и т.д. Эта позиция может стать предметом переговоров  общеобразовательного учреждения как с учредителем, так и с родителями обучающихся.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lastRenderedPageBreak/>
        <w:t>Таким же образом ведется работа по предметам регионального и школьного компонентов.</w:t>
      </w:r>
    </w:p>
    <w:p w:rsidR="00C91432" w:rsidRDefault="00C91432" w:rsidP="00C91432">
      <w:pPr>
        <w:ind w:right="-5"/>
        <w:jc w:val="both"/>
        <w:rPr>
          <w:sz w:val="28"/>
        </w:rPr>
      </w:pPr>
      <w:r>
        <w:rPr>
          <w:sz w:val="28"/>
        </w:rPr>
        <w:t>После анализа возможности  общеобразовательного учреждения (расписание, кадры, средства и т.д.), в реж</w:t>
      </w:r>
      <w:r>
        <w:rPr>
          <w:sz w:val="28"/>
        </w:rPr>
        <w:t>и</w:t>
      </w:r>
      <w:r>
        <w:rPr>
          <w:sz w:val="28"/>
        </w:rPr>
        <w:t>ме переговоров с семьей старшеклассника возможна коррекция индивидуальных уче</w:t>
      </w:r>
      <w:r>
        <w:rPr>
          <w:sz w:val="28"/>
        </w:rPr>
        <w:t>б</w:t>
      </w:r>
      <w:r>
        <w:rPr>
          <w:sz w:val="28"/>
        </w:rPr>
        <w:t xml:space="preserve">ных планов. 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Подготовка расписания фактически предполагает составление расписаний учителей и каждого обучающегося. Также это предполагает изменение способа ведения классного журнала.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Возможны иные варианты составления школьного расписания и ИУП, напр</w:t>
      </w:r>
      <w:r>
        <w:rPr>
          <w:sz w:val="28"/>
        </w:rPr>
        <w:t>и</w:t>
      </w:r>
      <w:r>
        <w:rPr>
          <w:sz w:val="28"/>
        </w:rPr>
        <w:t>мер, если общеобразовательное учреждение работает в режиме «учебных погружений», предоставляет ученику во</w:t>
      </w:r>
      <w:r>
        <w:rPr>
          <w:sz w:val="28"/>
        </w:rPr>
        <w:t>з</w:t>
      </w:r>
      <w:r>
        <w:rPr>
          <w:sz w:val="28"/>
        </w:rPr>
        <w:t>можность некоторые курсы 11-го класса завершить в 10-м, практикует ускоренные курсы обучения и т.д. При сетевом взаимодействии образовательных учреждений и организаций также следует учитывать, что ИУП  обучающегося может предполагать прохождение некоторых учебных  предметов в учреждениях дополнительного образования, зао</w:t>
      </w:r>
      <w:r>
        <w:rPr>
          <w:sz w:val="28"/>
        </w:rPr>
        <w:t>ч</w:t>
      </w:r>
      <w:r>
        <w:rPr>
          <w:sz w:val="28"/>
        </w:rPr>
        <w:t>ных школах, сторонних общеобразовательных учреждениях; в рамках с</w:t>
      </w:r>
      <w:r>
        <w:rPr>
          <w:sz w:val="28"/>
        </w:rPr>
        <w:t>е</w:t>
      </w:r>
      <w:r>
        <w:rPr>
          <w:sz w:val="28"/>
        </w:rPr>
        <w:t>мейного образования, самообразования, экстерната и пр.</w:t>
      </w:r>
    </w:p>
    <w:p w:rsidR="00C91432" w:rsidRDefault="00C91432" w:rsidP="00C91432">
      <w:pPr>
        <w:ind w:right="-5" w:firstLine="360"/>
        <w:jc w:val="both"/>
        <w:rPr>
          <w:sz w:val="28"/>
        </w:rPr>
      </w:pPr>
      <w:r>
        <w:rPr>
          <w:sz w:val="28"/>
        </w:rPr>
        <w:t>Примеры создания ИУП и разработки  расписания общеобразовательного учреждения, опытный образец комп</w:t>
      </w:r>
      <w:r>
        <w:rPr>
          <w:sz w:val="28"/>
        </w:rPr>
        <w:t>ь</w:t>
      </w:r>
      <w:r>
        <w:rPr>
          <w:sz w:val="28"/>
        </w:rPr>
        <w:t>ютерной программы и перечень проблемных вопросов относительно о</w:t>
      </w:r>
      <w:r>
        <w:rPr>
          <w:sz w:val="28"/>
        </w:rPr>
        <w:t>р</w:t>
      </w:r>
      <w:r>
        <w:rPr>
          <w:sz w:val="28"/>
        </w:rPr>
        <w:t>ганизации практики ИУП и сетевого взаимодействия образовательных учреждений и орг</w:t>
      </w:r>
      <w:r>
        <w:rPr>
          <w:sz w:val="28"/>
        </w:rPr>
        <w:t>а</w:t>
      </w:r>
      <w:r>
        <w:rPr>
          <w:sz w:val="28"/>
        </w:rPr>
        <w:t xml:space="preserve">низаций  представлены на сайте «Профильное обучение в старшей школе» в Интернете по адресу: </w:t>
      </w:r>
      <w:hyperlink r:id="rId7" w:history="1">
        <w:r>
          <w:rPr>
            <w:rStyle w:val="a6"/>
            <w:sz w:val="28"/>
            <w:lang w:val="en-US"/>
          </w:rPr>
          <w:t>www</w:t>
        </w:r>
        <w:r>
          <w:rPr>
            <w:rStyle w:val="a6"/>
            <w:sz w:val="28"/>
          </w:rPr>
          <w:t>.</w:t>
        </w:r>
        <w:r>
          <w:rPr>
            <w:rStyle w:val="a6"/>
            <w:sz w:val="28"/>
            <w:lang w:val="en-US"/>
          </w:rPr>
          <w:t>p</w:t>
        </w:r>
        <w:r>
          <w:rPr>
            <w:rStyle w:val="a6"/>
            <w:sz w:val="28"/>
            <w:lang w:val="en-US"/>
          </w:rPr>
          <w:t>rofile</w:t>
        </w:r>
        <w:r>
          <w:rPr>
            <w:rStyle w:val="a6"/>
            <w:sz w:val="28"/>
          </w:rPr>
          <w:t>-</w:t>
        </w:r>
        <w:r>
          <w:rPr>
            <w:rStyle w:val="a6"/>
            <w:sz w:val="28"/>
            <w:lang w:val="en-US"/>
          </w:rPr>
          <w:t>edu</w:t>
        </w:r>
        <w:r>
          <w:rPr>
            <w:rStyle w:val="a6"/>
            <w:sz w:val="28"/>
          </w:rPr>
          <w:t>.</w:t>
        </w:r>
        <w:r>
          <w:rPr>
            <w:rStyle w:val="a6"/>
            <w:sz w:val="28"/>
            <w:lang w:val="en-US"/>
          </w:rPr>
          <w:t>ru</w:t>
        </w:r>
      </w:hyperlink>
      <w:r>
        <w:rPr>
          <w:sz w:val="28"/>
        </w:rPr>
        <w:t>.</w:t>
      </w:r>
    </w:p>
    <w:p w:rsidR="00C91432" w:rsidRDefault="00C91432" w:rsidP="00C91432">
      <w:pPr>
        <w:pStyle w:val="3"/>
        <w:spacing w:before="0" w:after="0"/>
        <w:ind w:right="-5"/>
        <w:rPr>
          <w:sz w:val="28"/>
        </w:rPr>
      </w:pPr>
    </w:p>
    <w:p w:rsidR="00C91432" w:rsidRDefault="00C91432" w:rsidP="00C91432">
      <w:pPr>
        <w:pStyle w:val="3"/>
        <w:spacing w:before="0" w:after="0"/>
        <w:ind w:righ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</w:t>
      </w:r>
    </w:p>
    <w:p w:rsidR="00C91432" w:rsidRDefault="00C91432" w:rsidP="00C91432">
      <w:pPr>
        <w:keepNext/>
        <w:keepLines/>
        <w:ind w:right="-6" w:firstLine="360"/>
        <w:jc w:val="both"/>
        <w:rPr>
          <w:sz w:val="28"/>
        </w:rPr>
      </w:pPr>
      <w:r>
        <w:rPr>
          <w:sz w:val="28"/>
        </w:rPr>
        <w:t>Поддержка образовательных учреждений, реализующих профильное обуч</w:t>
      </w:r>
      <w:r>
        <w:rPr>
          <w:sz w:val="28"/>
        </w:rPr>
        <w:t>е</w:t>
      </w:r>
      <w:r>
        <w:rPr>
          <w:sz w:val="28"/>
        </w:rPr>
        <w:t>ние через ИУП, – важная часть обеспечения введения профильного обучения, поэт</w:t>
      </w:r>
      <w:r>
        <w:rPr>
          <w:sz w:val="28"/>
        </w:rPr>
        <w:t>о</w:t>
      </w:r>
      <w:r>
        <w:rPr>
          <w:sz w:val="28"/>
        </w:rPr>
        <w:t>му деятельность по созданию ИУП может стать частью региональных и муниципальных программ перехода к профил</w:t>
      </w:r>
      <w:r>
        <w:rPr>
          <w:sz w:val="28"/>
        </w:rPr>
        <w:t>ь</w:t>
      </w:r>
      <w:r>
        <w:rPr>
          <w:sz w:val="28"/>
        </w:rPr>
        <w:t>ному обучению.</w:t>
      </w:r>
    </w:p>
    <w:p w:rsidR="00C91432" w:rsidRDefault="00C91432" w:rsidP="00C91432">
      <w:pPr>
        <w:keepLines/>
        <w:ind w:right="-6" w:firstLine="360"/>
        <w:jc w:val="both"/>
        <w:rPr>
          <w:sz w:val="28"/>
        </w:rPr>
      </w:pPr>
      <w:r>
        <w:rPr>
          <w:sz w:val="28"/>
        </w:rPr>
        <w:t>Опыт ряда регионов, участвующих в эксперименте по профильному обучению, показ</w:t>
      </w:r>
      <w:r>
        <w:rPr>
          <w:sz w:val="28"/>
        </w:rPr>
        <w:t>ы</w:t>
      </w:r>
      <w:r>
        <w:rPr>
          <w:sz w:val="28"/>
        </w:rPr>
        <w:t>вает, что в учреждениях повышения квалификации, педагогических вузах, в общеобразовательных учреждениях создаются собственные варианты механизмов создания индивидуальных образовательных программ. В этой связи можно рекомендовать региональным и муниципальным органам управления образованием создавать банки данных по различным способам организации индивидуальных форм обр</w:t>
      </w:r>
      <w:r>
        <w:rPr>
          <w:sz w:val="28"/>
        </w:rPr>
        <w:t>а</w:t>
      </w:r>
      <w:r>
        <w:rPr>
          <w:sz w:val="28"/>
        </w:rPr>
        <w:t>зования, организовать информационную поддержку и обмен опытом введения ИУП.</w:t>
      </w:r>
    </w:p>
    <w:p w:rsidR="00C91432" w:rsidRDefault="00C91432" w:rsidP="00C91432">
      <w:pPr>
        <w:ind w:right="-5"/>
        <w:jc w:val="both"/>
        <w:rPr>
          <w:sz w:val="28"/>
        </w:rPr>
      </w:pPr>
    </w:p>
    <w:p w:rsidR="00C91432" w:rsidRDefault="00C91432" w:rsidP="00C91432"/>
    <w:p w:rsidR="004E3AAA" w:rsidRDefault="004E3AAA"/>
    <w:sectPr w:rsidR="004E3AAA">
      <w:footerReference w:type="even" r:id="rId8"/>
      <w:footerReference w:type="default" r:id="rId9"/>
      <w:pgSz w:w="11906" w:h="16838"/>
      <w:pgMar w:top="1134" w:right="851" w:bottom="1134" w:left="153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32" w:rsidRDefault="00C91432" w:rsidP="00C91432">
      <w:r>
        <w:separator/>
      </w:r>
    </w:p>
  </w:endnote>
  <w:endnote w:type="continuationSeparator" w:id="1">
    <w:p w:rsidR="00C91432" w:rsidRDefault="00C91432" w:rsidP="00C9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3" w:rsidRDefault="00C9143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1A3" w:rsidRDefault="00C9143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3" w:rsidRDefault="00C9143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5D51A3" w:rsidRDefault="00C914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32" w:rsidRDefault="00C91432" w:rsidP="00C91432">
      <w:r>
        <w:separator/>
      </w:r>
    </w:p>
  </w:footnote>
  <w:footnote w:type="continuationSeparator" w:id="1">
    <w:p w:rsidR="00C91432" w:rsidRDefault="00C91432" w:rsidP="00C91432">
      <w:r>
        <w:continuationSeparator/>
      </w:r>
    </w:p>
  </w:footnote>
  <w:footnote w:id="2">
    <w:p w:rsidR="00C91432" w:rsidRDefault="00C91432" w:rsidP="00C91432">
      <w:pPr>
        <w:pStyle w:val="a4"/>
      </w:pPr>
      <w:r>
        <w:rPr>
          <w:rStyle w:val="a3"/>
        </w:rPr>
        <w:footnoteRef/>
      </w:r>
      <w:r>
        <w:t xml:space="preserve"> РОССИЙСКАЯ ФЕДЕРАЦИЯ ЗАКОН ОБ ОБРАЗОВАНИИ (в ред. Федеральных законов от 13.01.1996 N 12-ФЗ, от 16.11.1997 N 144-ФЗ, от 20.07.2000 N 102-ФЗ, от 07.08.2000 N 122-ФЗ, от 13.02.2002 N 20-ФЗ, от 21.03.2002 N 31-ФЗ,  от 25.06.2002 N 71-ФЗ, от 25.07.2002 N 112-ФЗ, с изм., внесенными Постановлением Конституционного Суда РФ от 24.10.2000 N 13-П, Федеральными законами от 27.12.2000 N 150-ФЗ, от 30.12.2001 N 194-ФЗ) Статья 50. Права и социальная защита обучающихся, воспитанников</w:t>
      </w:r>
    </w:p>
  </w:footnote>
  <w:footnote w:id="3">
    <w:p w:rsidR="00C91432" w:rsidRDefault="00C91432" w:rsidP="00C91432">
      <w:pPr>
        <w:pStyle w:val="a4"/>
      </w:pPr>
      <w:r>
        <w:rPr>
          <w:rStyle w:val="a3"/>
        </w:rPr>
        <w:footnoteRef/>
      </w:r>
      <w:r>
        <w:t xml:space="preserve">  Изменения целесообразно внести в следующие разделы устава образовательного учреждения: «Организация образовательного процесса», «Участники образовательного процесса», «Локальные нормативные акты», «Управление образовательным учреждением».</w:t>
      </w:r>
    </w:p>
  </w:footnote>
  <w:footnote w:id="4">
    <w:p w:rsidR="00C91432" w:rsidRDefault="00C91432" w:rsidP="00C91432">
      <w:pPr>
        <w:pStyle w:val="a4"/>
      </w:pPr>
      <w:r>
        <w:rPr>
          <w:rStyle w:val="a3"/>
        </w:rPr>
        <w:footnoteRef/>
      </w:r>
      <w:r>
        <w:t xml:space="preserve"> Утвержден приказом Минобразования России от 09.03.2004 № 1312</w:t>
      </w:r>
    </w:p>
  </w:footnote>
  <w:footnote w:id="5">
    <w:p w:rsidR="00C91432" w:rsidRDefault="00C91432" w:rsidP="00C91432">
      <w:pPr>
        <w:pStyle w:val="a4"/>
      </w:pPr>
      <w:r>
        <w:rPr>
          <w:rStyle w:val="a3"/>
        </w:rPr>
        <w:footnoteRef/>
      </w:r>
      <w:r>
        <w:t xml:space="preserve"> Данная колонка заполняется в последнюю очередь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126"/>
    <w:multiLevelType w:val="hybridMultilevel"/>
    <w:tmpl w:val="C136DA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432"/>
    <w:rsid w:val="000C13B6"/>
    <w:rsid w:val="001E14CE"/>
    <w:rsid w:val="002E657D"/>
    <w:rsid w:val="004E3AAA"/>
    <w:rsid w:val="005366FD"/>
    <w:rsid w:val="00604C9F"/>
    <w:rsid w:val="00631134"/>
    <w:rsid w:val="00885499"/>
    <w:rsid w:val="00AE4E86"/>
    <w:rsid w:val="00C91432"/>
    <w:rsid w:val="00D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432"/>
    <w:pPr>
      <w:keepNext/>
      <w:ind w:right="566" w:firstLine="360"/>
      <w:jc w:val="both"/>
      <w:outlineLvl w:val="0"/>
    </w:pPr>
    <w:rPr>
      <w:rFonts w:ascii="Arial" w:hAnsi="Arial" w:cs="Arial"/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C91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432"/>
    <w:pPr>
      <w:keepNext/>
      <w:ind w:firstLine="426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Arial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1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91432"/>
    <w:pPr>
      <w:jc w:val="center"/>
    </w:pPr>
    <w:rPr>
      <w:rFonts w:cs="Arial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styleId="a3">
    <w:name w:val="footnote reference"/>
    <w:basedOn w:val="a0"/>
    <w:semiHidden/>
    <w:rsid w:val="00C91432"/>
    <w:rPr>
      <w:vertAlign w:val="superscript"/>
    </w:rPr>
  </w:style>
  <w:style w:type="paragraph" w:styleId="a4">
    <w:name w:val="footnote text"/>
    <w:basedOn w:val="a"/>
    <w:link w:val="a5"/>
    <w:semiHidden/>
    <w:rsid w:val="00C9143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C91432"/>
    <w:rPr>
      <w:color w:val="0000FF"/>
      <w:u w:val="single"/>
    </w:rPr>
  </w:style>
  <w:style w:type="character" w:styleId="a7">
    <w:name w:val="page number"/>
    <w:basedOn w:val="a0"/>
    <w:rsid w:val="00C91432"/>
  </w:style>
  <w:style w:type="paragraph" w:styleId="a8">
    <w:name w:val="footer"/>
    <w:basedOn w:val="a"/>
    <w:link w:val="a9"/>
    <w:rsid w:val="00C914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file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2009-11-25T09:59:00Z</dcterms:created>
  <dcterms:modified xsi:type="dcterms:W3CDTF">2009-11-25T09:59:00Z</dcterms:modified>
</cp:coreProperties>
</file>