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C8" w:rsidRPr="00362734" w:rsidRDefault="004724C8" w:rsidP="004724C8">
      <w:pPr>
        <w:widowControl/>
        <w:autoSpaceDE/>
        <w:autoSpaceDN/>
        <w:adjustRightInd/>
        <w:jc w:val="right"/>
        <w:rPr>
          <w:b/>
          <w:color w:val="002060"/>
          <w:spacing w:val="20"/>
          <w:sz w:val="28"/>
          <w:szCs w:val="28"/>
        </w:rPr>
      </w:pPr>
      <w:r>
        <w:rPr>
          <w:b/>
          <w:noProof/>
          <w:color w:val="002060"/>
          <w:spacing w:val="2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5660003</wp:posOffset>
            </wp:positionH>
            <wp:positionV relativeFrom="page">
              <wp:posOffset>445273</wp:posOffset>
            </wp:positionV>
            <wp:extent cx="935107" cy="413468"/>
            <wp:effectExtent l="19050" t="0" r="0" b="0"/>
            <wp:wrapNone/>
            <wp:docPr id="5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7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C8" w:rsidRPr="00976361" w:rsidRDefault="004724C8" w:rsidP="004724C8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1515" cy="79502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5982"/>
        <w:gridCol w:w="4489"/>
      </w:tblGrid>
      <w:tr w:rsidR="004724C8" w:rsidRPr="00976361" w:rsidTr="001F3421">
        <w:tc>
          <w:tcPr>
            <w:tcW w:w="10598" w:type="dxa"/>
            <w:gridSpan w:val="2"/>
            <w:shd w:val="clear" w:color="auto" w:fill="auto"/>
          </w:tcPr>
          <w:p w:rsidR="004724C8" w:rsidRPr="00623DAB" w:rsidRDefault="004724C8" w:rsidP="001F3421">
            <w:pPr>
              <w:widowControl/>
              <w:autoSpaceDE/>
              <w:autoSpaceDN/>
              <w:adjustRightInd/>
              <w:spacing w:after="200"/>
              <w:jc w:val="center"/>
              <w:rPr>
                <w:b/>
                <w:color w:val="002060"/>
                <w:sz w:val="32"/>
                <w:szCs w:val="32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>МИНИСТ</w:t>
            </w:r>
            <w:r>
              <w:rPr>
                <w:b/>
                <w:color w:val="002060"/>
                <w:sz w:val="32"/>
                <w:szCs w:val="32"/>
              </w:rPr>
              <w:t>Е</w:t>
            </w:r>
            <w:r w:rsidRPr="00623DAB">
              <w:rPr>
                <w:b/>
                <w:color w:val="002060"/>
                <w:sz w:val="32"/>
                <w:szCs w:val="32"/>
              </w:rPr>
              <w:t>Р</w:t>
            </w:r>
            <w:r>
              <w:rPr>
                <w:b/>
                <w:color w:val="002060"/>
                <w:sz w:val="32"/>
                <w:szCs w:val="32"/>
              </w:rPr>
              <w:t>СТВО ОБРАЗОВАНИЯ</w:t>
            </w:r>
            <w:r w:rsidRPr="00623DAB">
              <w:rPr>
                <w:b/>
                <w:color w:val="002060"/>
                <w:sz w:val="32"/>
                <w:szCs w:val="32"/>
              </w:rPr>
              <w:t xml:space="preserve"> </w:t>
            </w:r>
          </w:p>
          <w:p w:rsidR="004724C8" w:rsidRPr="00976361" w:rsidRDefault="004724C8" w:rsidP="001F342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76361">
              <w:rPr>
                <w:b/>
                <w:color w:val="002060"/>
                <w:sz w:val="32"/>
                <w:szCs w:val="32"/>
              </w:rPr>
              <w:t>МОСКОВСКОЙ ОБЛАСТИ</w:t>
            </w:r>
            <w:r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4724C8" w:rsidRPr="003D6ABF" w:rsidTr="001F3421">
        <w:tc>
          <w:tcPr>
            <w:tcW w:w="6062" w:type="dxa"/>
          </w:tcPr>
          <w:p w:rsidR="004724C8" w:rsidRPr="003D6ABF" w:rsidRDefault="004724C8" w:rsidP="001F3421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noProof/>
                <w:sz w:val="18"/>
                <w:szCs w:val="18"/>
              </w:rPr>
            </w:pPr>
            <w:r w:rsidRPr="003D6ABF">
              <w:rPr>
                <w:noProof/>
                <w:sz w:val="18"/>
                <w:szCs w:val="18"/>
              </w:rPr>
              <w:t>бульвар Стр</w:t>
            </w:r>
            <w:r>
              <w:rPr>
                <w:noProof/>
                <w:sz w:val="18"/>
                <w:szCs w:val="18"/>
              </w:rPr>
              <w:t>оителей,  д. 1, г. Красногорск</w:t>
            </w:r>
            <w:r w:rsidRPr="003D6ABF">
              <w:rPr>
                <w:noProof/>
                <w:sz w:val="18"/>
                <w:szCs w:val="18"/>
              </w:rPr>
              <w:t>, Московская область, 143407</w:t>
            </w:r>
          </w:p>
          <w:p w:rsidR="004724C8" w:rsidRPr="003D6ABF" w:rsidRDefault="004724C8" w:rsidP="001F3421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4724C8" w:rsidRPr="003D6ABF" w:rsidRDefault="004724C8" w:rsidP="001F3421">
            <w:pPr>
              <w:pStyle w:val="1"/>
              <w:suppressAutoHyphens/>
              <w:spacing w:before="0" w:after="0" w:line="288" w:lineRule="auto"/>
              <w:ind w:right="191" w:firstLine="0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>тел. 8 (498) 602-11-11; факс 8 (498) 602-09-93</w:t>
            </w:r>
          </w:p>
          <w:p w:rsidR="004724C8" w:rsidRPr="0014044E" w:rsidRDefault="004724C8" w:rsidP="001F3421">
            <w:pPr>
              <w:pStyle w:val="1"/>
              <w:suppressAutoHyphens/>
              <w:spacing w:before="0" w:after="0" w:line="288" w:lineRule="auto"/>
              <w:ind w:right="191" w:firstLine="0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3D6ABF">
                <w:rPr>
                  <w:rStyle w:val="a3"/>
                  <w:bCs/>
                  <w:noProof/>
                  <w:sz w:val="18"/>
                  <w:szCs w:val="18"/>
                  <w:lang w:val="en-US"/>
                </w:rPr>
                <w:t>minobr@mosreg.ru</w:t>
              </w:r>
            </w:hyperlink>
          </w:p>
        </w:tc>
      </w:tr>
      <w:tr w:rsidR="004724C8" w:rsidRPr="003D6ABF" w:rsidTr="001F3421">
        <w:trPr>
          <w:trHeight w:val="57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4724C8" w:rsidRPr="00A63EA9" w:rsidRDefault="004724C8" w:rsidP="001F3421">
            <w:pPr>
              <w:pStyle w:val="1"/>
              <w:suppressAutoHyphens/>
              <w:spacing w:before="0" w:after="0" w:line="288" w:lineRule="auto"/>
              <w:ind w:right="191" w:firstLine="0"/>
              <w:jc w:val="right"/>
              <w:rPr>
                <w:bCs/>
                <w:noProof/>
                <w:sz w:val="6"/>
                <w:szCs w:val="18"/>
              </w:rPr>
            </w:pPr>
          </w:p>
        </w:tc>
      </w:tr>
    </w:tbl>
    <w:p w:rsidR="004724C8" w:rsidRPr="00A63EA9" w:rsidRDefault="004724C8" w:rsidP="004724C8">
      <w:pPr>
        <w:spacing w:line="288" w:lineRule="auto"/>
        <w:ind w:right="191"/>
        <w:rPr>
          <w:sz w:val="4"/>
          <w:szCs w:val="16"/>
        </w:rPr>
      </w:pPr>
    </w:p>
    <w:tbl>
      <w:tblPr>
        <w:tblW w:w="10314" w:type="dxa"/>
        <w:tblLook w:val="04A0"/>
      </w:tblPr>
      <w:tblGrid>
        <w:gridCol w:w="5778"/>
        <w:gridCol w:w="4536"/>
      </w:tblGrid>
      <w:tr w:rsidR="004724C8" w:rsidRPr="00602464" w:rsidTr="00FA1D10">
        <w:tc>
          <w:tcPr>
            <w:tcW w:w="5778" w:type="dxa"/>
          </w:tcPr>
          <w:p w:rsidR="004724C8" w:rsidRDefault="004724C8" w:rsidP="001F342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№ ____________</w:t>
            </w:r>
          </w:p>
          <w:p w:rsidR="004724C8" w:rsidRPr="00602464" w:rsidRDefault="004724C8" w:rsidP="001F3421">
            <w:pPr>
              <w:widowControl/>
              <w:tabs>
                <w:tab w:val="left" w:pos="9355"/>
              </w:tabs>
              <w:suppressAutoHyphens/>
              <w:autoSpaceDE/>
              <w:autoSpaceDN/>
              <w:adjustRightInd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 ___________   от ____________</w:t>
            </w:r>
          </w:p>
        </w:tc>
        <w:tc>
          <w:tcPr>
            <w:tcW w:w="4536" w:type="dxa"/>
          </w:tcPr>
          <w:p w:rsidR="00FA1D10" w:rsidRDefault="004724C8" w:rsidP="00FA1D10">
            <w:pPr>
              <w:ind w:left="34"/>
              <w:rPr>
                <w:sz w:val="28"/>
                <w:szCs w:val="28"/>
              </w:rPr>
            </w:pPr>
            <w:r w:rsidRPr="004B4B10">
              <w:rPr>
                <w:sz w:val="28"/>
                <w:szCs w:val="28"/>
              </w:rPr>
              <w:t>Руководителям органов</w:t>
            </w:r>
            <w:r>
              <w:rPr>
                <w:sz w:val="28"/>
                <w:szCs w:val="28"/>
              </w:rPr>
              <w:t xml:space="preserve"> </w:t>
            </w:r>
            <w:r w:rsidRPr="004B4B10">
              <w:rPr>
                <w:sz w:val="28"/>
                <w:szCs w:val="28"/>
              </w:rPr>
              <w:t>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4B4B10">
              <w:rPr>
                <w:sz w:val="28"/>
                <w:szCs w:val="28"/>
              </w:rPr>
              <w:t xml:space="preserve">муниципальных образований Московской области, осуществляющих управление </w:t>
            </w:r>
          </w:p>
          <w:p w:rsidR="004724C8" w:rsidRPr="00602464" w:rsidRDefault="004724C8" w:rsidP="00FA1D10">
            <w:pPr>
              <w:ind w:left="34"/>
            </w:pPr>
            <w:r w:rsidRPr="004B4B10">
              <w:rPr>
                <w:sz w:val="28"/>
                <w:szCs w:val="28"/>
              </w:rPr>
              <w:t>в сфере образования</w:t>
            </w:r>
          </w:p>
        </w:tc>
      </w:tr>
    </w:tbl>
    <w:p w:rsidR="004724C8" w:rsidRDefault="004724C8" w:rsidP="004724C8">
      <w:pPr>
        <w:pStyle w:val="21"/>
        <w:ind w:left="0"/>
      </w:pPr>
    </w:p>
    <w:p w:rsidR="004724C8" w:rsidRDefault="004724C8" w:rsidP="004724C8">
      <w:pPr>
        <w:spacing w:line="276" w:lineRule="auto"/>
        <w:ind w:firstLine="709"/>
        <w:jc w:val="both"/>
        <w:rPr>
          <w:sz w:val="28"/>
          <w:szCs w:val="28"/>
        </w:rPr>
      </w:pPr>
      <w:r w:rsidRPr="00E450B8">
        <w:rPr>
          <w:sz w:val="28"/>
          <w:szCs w:val="28"/>
        </w:rPr>
        <w:t xml:space="preserve">Министерство образования Московской области </w:t>
      </w:r>
      <w:r>
        <w:rPr>
          <w:sz w:val="28"/>
          <w:szCs w:val="28"/>
        </w:rPr>
        <w:t>в соответствии с письмом Федеральной службы по надзору в сфере образования и науки (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>)                 от 24.01.2018 № 10-34 разъясняет следующее.</w:t>
      </w:r>
    </w:p>
    <w:p w:rsidR="004724C8" w:rsidRDefault="004724C8" w:rsidP="004724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26.12.2013 № 1400 ЕГЭ для выпускников прошлых лет (ВПЛ) проводится досрочно, но не ранее 1 марта, и (или) </w:t>
      </w:r>
      <w:r w:rsidR="001D49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 дополнительные сроки проведения ЕГЭ.</w:t>
      </w:r>
    </w:p>
    <w:p w:rsidR="00B13654" w:rsidRDefault="004724C8" w:rsidP="004724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п.1.4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10.11.2017 № 1099 </w:t>
      </w:r>
      <w:r w:rsidR="0095238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году» установлены следующие сроки участия ВПЛ в ЕГЭ:</w:t>
      </w:r>
    </w:p>
    <w:p w:rsidR="00B13654" w:rsidRDefault="004724C8" w:rsidP="004724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21 марта по 11 апреля 2018 года</w:t>
      </w:r>
      <w:r w:rsidR="0095238D">
        <w:rPr>
          <w:sz w:val="28"/>
          <w:szCs w:val="28"/>
        </w:rPr>
        <w:t xml:space="preserve"> (досрочный период)</w:t>
      </w:r>
      <w:r>
        <w:rPr>
          <w:sz w:val="28"/>
          <w:szCs w:val="28"/>
        </w:rPr>
        <w:t xml:space="preserve">; </w:t>
      </w:r>
    </w:p>
    <w:p w:rsidR="004724C8" w:rsidRDefault="004724C8" w:rsidP="004724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22 июня по 2 июля 2018 года</w:t>
      </w:r>
      <w:r w:rsidR="0095238D">
        <w:rPr>
          <w:sz w:val="28"/>
          <w:szCs w:val="28"/>
        </w:rPr>
        <w:t xml:space="preserve"> (дополнительные (резервные) сроки) основного периода</w:t>
      </w:r>
      <w:r>
        <w:rPr>
          <w:sz w:val="28"/>
          <w:szCs w:val="28"/>
        </w:rPr>
        <w:t>.</w:t>
      </w:r>
    </w:p>
    <w:p w:rsidR="004724C8" w:rsidRDefault="004724C8" w:rsidP="004724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ВПЛ могут участвовать в ЕГЭ в досрочный период, включая дополнительные (резервные) сроки досрочного периода, а также в дополнительные (резервные) сроки основного периода проведения ЕГЭ. Срок (период) сдачи ЕГЭ ВПЛ выбирают самостоятельно.</w:t>
      </w:r>
    </w:p>
    <w:p w:rsidR="004724C8" w:rsidRDefault="004724C8" w:rsidP="004724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экзаменах ВПЛ в основной период проведения ЕГЭ (с 28 мая                     </w:t>
      </w:r>
      <w:r>
        <w:rPr>
          <w:sz w:val="28"/>
          <w:szCs w:val="28"/>
        </w:rPr>
        <w:lastRenderedPageBreak/>
        <w:t>по 20 июня 2018 года) допускается только при наличии у них уважительных причин (болезнь или иные обстоятельства, подтвержденные документально)                                   и соответствующего решения ГЭК.</w:t>
      </w:r>
    </w:p>
    <w:p w:rsidR="004724C8" w:rsidRDefault="004724C8" w:rsidP="004724C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Обращаем внимание, что запрет на участие в ЕГЭ в основной период распространяется только на ВПЛ и не относится к лицам, обучающимся по образовательным программам среднего профессионального образования (СПО),                    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обучающимся, получающим среднее общее образование в иностранных образовательных организациях.</w:t>
      </w:r>
    </w:p>
    <w:p w:rsidR="004724C8" w:rsidRDefault="0095238D" w:rsidP="004724C8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Дополнительно разъясняем по вопросу участия </w:t>
      </w:r>
      <w:r w:rsidRPr="0095238D">
        <w:rPr>
          <w:b/>
          <w:sz w:val="28"/>
        </w:rPr>
        <w:t>обучающихся</w:t>
      </w:r>
      <w:r>
        <w:rPr>
          <w:sz w:val="28"/>
        </w:rPr>
        <w:t xml:space="preserve"> в ЕГЭ </w:t>
      </w:r>
      <w:r w:rsidR="009415FF">
        <w:rPr>
          <w:sz w:val="28"/>
        </w:rPr>
        <w:t xml:space="preserve">                            </w:t>
      </w:r>
      <w:r>
        <w:rPr>
          <w:sz w:val="28"/>
        </w:rPr>
        <w:t>по математике.</w:t>
      </w:r>
      <w:proofErr w:type="gramEnd"/>
    </w:p>
    <w:p w:rsidR="0095238D" w:rsidRDefault="00CF7AC9" w:rsidP="004724C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Условием для выдачи аттестата о среднем общем образовании является успешная сдача ЕГЭ по обязательным предметам – русскому языку и математике. Обучающиеся имеют право выбрать по желанию один из уровней ЕГЭ</w:t>
      </w:r>
      <w:r w:rsidR="001D491D">
        <w:rPr>
          <w:sz w:val="28"/>
        </w:rPr>
        <w:t xml:space="preserve">                               </w:t>
      </w:r>
      <w:r>
        <w:rPr>
          <w:sz w:val="28"/>
        </w:rPr>
        <w:t xml:space="preserve"> по математике (базовый или профильный) или оба уровня одновременно. Образовательная организация не вправе обязывать обучающихся выбирать тот или иной уровень для сдачи ЕГЭ по математике.</w:t>
      </w:r>
    </w:p>
    <w:p w:rsidR="00CF7AC9" w:rsidRDefault="00CF7AC9" w:rsidP="004724C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Пересдача одного из </w:t>
      </w:r>
      <w:r w:rsidR="003F425A">
        <w:rPr>
          <w:sz w:val="28"/>
        </w:rPr>
        <w:t>уровней ЕГЭ по математике возможна в случаях:</w:t>
      </w:r>
    </w:p>
    <w:p w:rsidR="003F425A" w:rsidRDefault="003F425A" w:rsidP="004724C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выбора для сдачи только </w:t>
      </w:r>
      <w:r w:rsidRPr="001D491D">
        <w:rPr>
          <w:sz w:val="28"/>
        </w:rPr>
        <w:t>одного</w:t>
      </w:r>
      <w:r>
        <w:rPr>
          <w:sz w:val="28"/>
        </w:rPr>
        <w:t xml:space="preserve"> уровня ЕГЭ по математике и получения неудовлетворительного результата по данному уровню;</w:t>
      </w:r>
    </w:p>
    <w:p w:rsidR="003F425A" w:rsidRDefault="003F425A" w:rsidP="004724C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получения неудовлетворительных результатов по обоим уровням.</w:t>
      </w:r>
    </w:p>
    <w:p w:rsidR="003F425A" w:rsidRDefault="003F425A" w:rsidP="00874E42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Если обучающийся выбрал для сдачи оба уровня ЕГЭ по математике (базовый и профильный) и получил неудовлетворительный результат по одному </w:t>
      </w:r>
      <w:r w:rsidR="001D491D">
        <w:rPr>
          <w:sz w:val="28"/>
        </w:rPr>
        <w:t xml:space="preserve">                                </w:t>
      </w:r>
      <w:r>
        <w:rPr>
          <w:sz w:val="28"/>
        </w:rPr>
        <w:t>из выбранных уровней, то он не допускается к повторной сдаче математики</w:t>
      </w:r>
      <w:r w:rsidR="001D491D">
        <w:rPr>
          <w:sz w:val="28"/>
        </w:rPr>
        <w:t xml:space="preserve">                          </w:t>
      </w:r>
      <w:r>
        <w:rPr>
          <w:sz w:val="28"/>
        </w:rPr>
        <w:t xml:space="preserve"> в дополнительные сроки, так как имеет удовлетворительный результат по учебному предмету «Математика».</w:t>
      </w:r>
    </w:p>
    <w:p w:rsidR="003F425A" w:rsidRDefault="003F425A" w:rsidP="003F425A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Руководителям муниципальных органов управления образованием необходимо организовать работу по доведению вышеуказанной информации до </w:t>
      </w:r>
      <w:r w:rsidR="00874E42">
        <w:rPr>
          <w:sz w:val="28"/>
        </w:rPr>
        <w:t>участников ЕГЭ, их родителей (законных представителей) и организовать дополнительную разъяснительную работу с</w:t>
      </w:r>
      <w:r>
        <w:rPr>
          <w:sz w:val="28"/>
        </w:rPr>
        <w:t xml:space="preserve"> обучающи</w:t>
      </w:r>
      <w:r w:rsidR="00874E42">
        <w:rPr>
          <w:sz w:val="28"/>
        </w:rPr>
        <w:t>ми</w:t>
      </w:r>
      <w:r>
        <w:rPr>
          <w:sz w:val="28"/>
        </w:rPr>
        <w:t>ся, их родител</w:t>
      </w:r>
      <w:r w:rsidR="00874E42">
        <w:rPr>
          <w:sz w:val="28"/>
        </w:rPr>
        <w:t>ями</w:t>
      </w:r>
      <w:r>
        <w:rPr>
          <w:sz w:val="28"/>
        </w:rPr>
        <w:t xml:space="preserve"> (законны</w:t>
      </w:r>
      <w:r w:rsidR="00874E42">
        <w:rPr>
          <w:sz w:val="28"/>
        </w:rPr>
        <w:t>ми представителями</w:t>
      </w:r>
      <w:r>
        <w:rPr>
          <w:sz w:val="28"/>
        </w:rPr>
        <w:t>) по вопросам выбора уровня ЕГЭ по математике.</w:t>
      </w:r>
    </w:p>
    <w:p w:rsidR="006E138A" w:rsidRDefault="001D491D" w:rsidP="003F425A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Кроме того, дополнительно обращаем внимание, что подача заявлений </w:t>
      </w:r>
      <w:r w:rsidR="009415FF">
        <w:rPr>
          <w:sz w:val="28"/>
        </w:rPr>
        <w:t xml:space="preserve">                    </w:t>
      </w:r>
      <w:r>
        <w:rPr>
          <w:sz w:val="28"/>
        </w:rPr>
        <w:t>на сдачу ЕГЭ завершается 1 февраля 2018 года.</w:t>
      </w:r>
    </w:p>
    <w:p w:rsidR="006E138A" w:rsidRDefault="006E138A" w:rsidP="003F425A">
      <w:pPr>
        <w:spacing w:line="240" w:lineRule="atLeast"/>
        <w:ind w:firstLine="709"/>
        <w:jc w:val="both"/>
        <w:rPr>
          <w:sz w:val="28"/>
        </w:rPr>
      </w:pPr>
    </w:p>
    <w:p w:rsidR="006E138A" w:rsidRPr="000C0787" w:rsidRDefault="006E138A" w:rsidP="003F425A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Приложение: письмо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</w:t>
      </w:r>
      <w:r>
        <w:rPr>
          <w:sz w:val="28"/>
          <w:szCs w:val="28"/>
        </w:rPr>
        <w:t>24.01.2018 № 10-34 на 3 л. в 1 экз.</w:t>
      </w:r>
    </w:p>
    <w:p w:rsidR="004724C8" w:rsidRDefault="004724C8" w:rsidP="004724C8">
      <w:pPr>
        <w:jc w:val="both"/>
        <w:rPr>
          <w:sz w:val="28"/>
          <w:szCs w:val="28"/>
        </w:rPr>
      </w:pPr>
    </w:p>
    <w:p w:rsidR="00B13654" w:rsidRDefault="00B13654" w:rsidP="004724C8">
      <w:pPr>
        <w:jc w:val="both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6204"/>
        <w:gridCol w:w="4252"/>
      </w:tblGrid>
      <w:tr w:rsidR="004724C8" w:rsidRPr="00C26284" w:rsidTr="001D491D">
        <w:tc>
          <w:tcPr>
            <w:tcW w:w="6204" w:type="dxa"/>
          </w:tcPr>
          <w:p w:rsidR="004724C8" w:rsidRPr="00C26284" w:rsidRDefault="004724C8" w:rsidP="001F3421">
            <w:pPr>
              <w:widowControl/>
              <w:tabs>
                <w:tab w:val="left" w:pos="9355"/>
              </w:tabs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C2628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C262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</w:p>
          <w:p w:rsidR="004724C8" w:rsidRPr="00C26284" w:rsidRDefault="004724C8" w:rsidP="001F3421">
            <w:pPr>
              <w:widowControl/>
              <w:tabs>
                <w:tab w:val="left" w:pos="9355"/>
              </w:tabs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 w:rsidRPr="00C26284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Align w:val="bottom"/>
          </w:tcPr>
          <w:p w:rsidR="004724C8" w:rsidRPr="00C26284" w:rsidRDefault="004724C8" w:rsidP="00874E42">
            <w:pPr>
              <w:widowControl/>
              <w:tabs>
                <w:tab w:val="left" w:pos="9355"/>
              </w:tabs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74E42">
              <w:rPr>
                <w:sz w:val="28"/>
                <w:szCs w:val="28"/>
              </w:rPr>
              <w:t xml:space="preserve">А.И. </w:t>
            </w:r>
            <w:proofErr w:type="spellStart"/>
            <w:r w:rsidR="00874E42">
              <w:rPr>
                <w:sz w:val="28"/>
                <w:szCs w:val="28"/>
              </w:rPr>
              <w:t>Анопченко</w:t>
            </w:r>
            <w:proofErr w:type="spellEnd"/>
          </w:p>
        </w:tc>
      </w:tr>
    </w:tbl>
    <w:p w:rsidR="006371ED" w:rsidRDefault="006371ED" w:rsidP="00B13654"/>
    <w:sectPr w:rsidR="006371ED" w:rsidSect="00B13654">
      <w:pgSz w:w="12240" w:h="15840"/>
      <w:pgMar w:top="1134" w:right="567" w:bottom="1135" w:left="1418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4C8"/>
    <w:rsid w:val="00030C42"/>
    <w:rsid w:val="001D491D"/>
    <w:rsid w:val="003F425A"/>
    <w:rsid w:val="004724C8"/>
    <w:rsid w:val="006371ED"/>
    <w:rsid w:val="006E138A"/>
    <w:rsid w:val="006E6B50"/>
    <w:rsid w:val="007C3BF0"/>
    <w:rsid w:val="00874E42"/>
    <w:rsid w:val="009415FF"/>
    <w:rsid w:val="0095238D"/>
    <w:rsid w:val="00B13654"/>
    <w:rsid w:val="00CB5905"/>
    <w:rsid w:val="00CF7AC9"/>
    <w:rsid w:val="00FA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24C8"/>
    <w:pPr>
      <w:widowControl w:val="0"/>
      <w:spacing w:before="120" w:after="12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rsid w:val="004724C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724C8"/>
    <w:pPr>
      <w:widowControl/>
      <w:suppressAutoHyphens/>
      <w:autoSpaceDE/>
      <w:autoSpaceDN/>
      <w:adjustRightInd/>
      <w:ind w:left="5040"/>
    </w:pPr>
    <w:rPr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72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obr@mos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367D0-8CD8-4697-9E61-CA969CB1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PC081K</cp:lastModifiedBy>
  <cp:revision>8</cp:revision>
  <cp:lastPrinted>2018-01-25T10:55:00Z</cp:lastPrinted>
  <dcterms:created xsi:type="dcterms:W3CDTF">2018-01-25T08:50:00Z</dcterms:created>
  <dcterms:modified xsi:type="dcterms:W3CDTF">2018-01-25T10:59:00Z</dcterms:modified>
</cp:coreProperties>
</file>